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AF3F" w14:textId="6CB4D949" w:rsidR="00C9351B" w:rsidRPr="00C9351B" w:rsidRDefault="004D6DC4" w:rsidP="00C9351B">
      <w:pPr>
        <w:spacing w:after="0"/>
        <w:jc w:val="center"/>
        <w:rPr>
          <w:b/>
        </w:rPr>
      </w:pPr>
      <w:r>
        <w:rPr>
          <w:b/>
        </w:rPr>
        <w:t xml:space="preserve">Suggested </w:t>
      </w:r>
      <w:r w:rsidR="00C9351B" w:rsidRPr="00C9351B">
        <w:rPr>
          <w:b/>
        </w:rPr>
        <w:t xml:space="preserve">Letter of </w:t>
      </w:r>
      <w:r w:rsidR="00B37BFF">
        <w:rPr>
          <w:b/>
        </w:rPr>
        <w:t xml:space="preserve">Commitment </w:t>
      </w:r>
      <w:r w:rsidR="00EB1F0D">
        <w:rPr>
          <w:b/>
        </w:rPr>
        <w:t>Template</w:t>
      </w:r>
      <w:r w:rsidR="00C9351B" w:rsidRPr="00C9351B">
        <w:rPr>
          <w:b/>
        </w:rPr>
        <w:t xml:space="preserve"> for</w:t>
      </w:r>
    </w:p>
    <w:p w14:paraId="6B97B3D7" w14:textId="5912E28E" w:rsidR="00C9351B" w:rsidRPr="00C9351B" w:rsidRDefault="00C9351B" w:rsidP="00C9351B">
      <w:pPr>
        <w:spacing w:after="0"/>
        <w:jc w:val="center"/>
        <w:rPr>
          <w:b/>
        </w:rPr>
      </w:pPr>
      <w:r w:rsidRPr="00C9351B">
        <w:rPr>
          <w:b/>
        </w:rPr>
        <w:t>50</w:t>
      </w:r>
      <w:r w:rsidR="000F1936">
        <w:rPr>
          <w:b/>
        </w:rPr>
        <w:t>K</w:t>
      </w:r>
      <w:r w:rsidRPr="00C9351B">
        <w:rPr>
          <w:b/>
        </w:rPr>
        <w:t xml:space="preserve"> Coalition Members</w:t>
      </w:r>
      <w:r w:rsidR="00B37BFF">
        <w:rPr>
          <w:b/>
        </w:rPr>
        <w:t>hip</w:t>
      </w:r>
      <w:r w:rsidRPr="00C9351B">
        <w:rPr>
          <w:b/>
        </w:rPr>
        <w:t xml:space="preserve"> </w:t>
      </w:r>
    </w:p>
    <w:p w14:paraId="44552B79" w14:textId="77777777" w:rsidR="004D6DC4" w:rsidRDefault="004D6DC4" w:rsidP="00032FFD">
      <w:pPr>
        <w:jc w:val="both"/>
      </w:pPr>
    </w:p>
    <w:p w14:paraId="35DB2289" w14:textId="7100BCBA" w:rsidR="00952564" w:rsidRPr="009204CE" w:rsidRDefault="00C94200" w:rsidP="00032FFD">
      <w:pPr>
        <w:jc w:val="both"/>
      </w:pPr>
      <w:r w:rsidRPr="009204CE">
        <w:t>Date</w:t>
      </w:r>
    </w:p>
    <w:p w14:paraId="1F55017E" w14:textId="0389F88E" w:rsidR="004D6DC4" w:rsidRPr="009204CE" w:rsidRDefault="00DA7B7E" w:rsidP="004D6DC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Clifton Morgan</w:t>
      </w:r>
    </w:p>
    <w:p w14:paraId="1B270C7A" w14:textId="43BE1703" w:rsidR="004D6DC4" w:rsidRPr="009204CE" w:rsidRDefault="00DA7B7E" w:rsidP="004D6DC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</w:t>
      </w:r>
      <w:r w:rsidR="004D6DC4" w:rsidRPr="009204CE">
        <w:rPr>
          <w:rFonts w:ascii="Calibri" w:hAnsi="Calibri" w:cs="Calibri"/>
        </w:rPr>
        <w:t>Director</w:t>
      </w:r>
    </w:p>
    <w:p w14:paraId="441665A8" w14:textId="738DC9DC" w:rsidR="004D6DC4" w:rsidRPr="009204CE" w:rsidRDefault="00DA7B7E" w:rsidP="004D6DC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50K Coalition</w:t>
      </w:r>
    </w:p>
    <w:p w14:paraId="2A46C6DC" w14:textId="77777777" w:rsidR="004D6DC4" w:rsidRPr="009204CE" w:rsidRDefault="004D6DC4" w:rsidP="004D6DC4">
      <w:pPr>
        <w:spacing w:after="0" w:line="240" w:lineRule="auto"/>
        <w:jc w:val="both"/>
        <w:rPr>
          <w:rFonts w:ascii="Calibri" w:hAnsi="Calibri" w:cs="Calibri"/>
        </w:rPr>
      </w:pPr>
      <w:r w:rsidRPr="009204CE">
        <w:rPr>
          <w:rFonts w:ascii="Calibri" w:hAnsi="Calibri" w:cs="Calibri"/>
        </w:rPr>
        <w:t>205 Daingerfield Road</w:t>
      </w:r>
    </w:p>
    <w:p w14:paraId="78479DD1" w14:textId="77777777" w:rsidR="004D6DC4" w:rsidRPr="009204CE" w:rsidRDefault="004D6DC4" w:rsidP="004D6DC4">
      <w:pPr>
        <w:spacing w:after="0" w:line="240" w:lineRule="auto"/>
        <w:jc w:val="both"/>
        <w:rPr>
          <w:rFonts w:ascii="Calibri" w:hAnsi="Calibri" w:cs="Calibri"/>
        </w:rPr>
      </w:pPr>
      <w:r w:rsidRPr="009204CE">
        <w:rPr>
          <w:rFonts w:ascii="Calibri" w:hAnsi="Calibri" w:cs="Calibri"/>
        </w:rPr>
        <w:t xml:space="preserve">Alexandria, VA 22314 </w:t>
      </w:r>
    </w:p>
    <w:p w14:paraId="3FC21070" w14:textId="77777777" w:rsidR="00C94200" w:rsidRPr="009204CE" w:rsidRDefault="00C94200" w:rsidP="00032FFD">
      <w:pPr>
        <w:spacing w:after="0" w:line="240" w:lineRule="auto"/>
        <w:jc w:val="both"/>
      </w:pPr>
    </w:p>
    <w:p w14:paraId="12FD6E8F" w14:textId="739ABA1A" w:rsidR="00C94200" w:rsidRPr="009204CE" w:rsidRDefault="00C94200" w:rsidP="00F65B26">
      <w:pPr>
        <w:spacing w:after="0" w:line="240" w:lineRule="auto"/>
        <w:jc w:val="both"/>
      </w:pPr>
      <w:r w:rsidRPr="009204CE">
        <w:t xml:space="preserve">Dear </w:t>
      </w:r>
      <w:r w:rsidR="00DA7B7E">
        <w:t>Mr</w:t>
      </w:r>
      <w:r w:rsidR="00155D2E">
        <w:t>. Morgan</w:t>
      </w:r>
      <w:r w:rsidRPr="009204CE">
        <w:t>:</w:t>
      </w:r>
    </w:p>
    <w:p w14:paraId="1F871D92" w14:textId="77777777" w:rsidR="00C94200" w:rsidRPr="009204CE" w:rsidRDefault="00C94200" w:rsidP="00F65B26">
      <w:pPr>
        <w:spacing w:after="0" w:line="240" w:lineRule="auto"/>
        <w:jc w:val="both"/>
      </w:pPr>
    </w:p>
    <w:p w14:paraId="0C781F52" w14:textId="49F13C27" w:rsidR="00D35773" w:rsidRPr="009204CE" w:rsidRDefault="0076769B" w:rsidP="00F65B26">
      <w:pPr>
        <w:spacing w:after="0" w:line="240" w:lineRule="auto"/>
        <w:jc w:val="both"/>
      </w:pPr>
      <w:r w:rsidRPr="009204CE">
        <w:rPr>
          <w:noProof/>
        </w:rPr>
        <w:t xml:space="preserve">As </w:t>
      </w:r>
      <w:r w:rsidR="00D81B33">
        <w:rPr>
          <w:iCs/>
          <w:noProof/>
        </w:rPr>
        <w:t>XXX</w:t>
      </w:r>
      <w:r w:rsidR="00B9211C" w:rsidRPr="00B9211C">
        <w:rPr>
          <w:iCs/>
          <w:noProof/>
        </w:rPr>
        <w:t xml:space="preserve"> of</w:t>
      </w:r>
      <w:r w:rsidR="00B9211C">
        <w:rPr>
          <w:iCs/>
          <w:noProof/>
        </w:rPr>
        <w:t xml:space="preserve"> </w:t>
      </w:r>
      <w:r w:rsidR="00D81B33">
        <w:t xml:space="preserve">the </w:t>
      </w:r>
      <w:r w:rsidR="001A412A">
        <w:t>(name of organization)</w:t>
      </w:r>
      <w:r w:rsidR="009204CE" w:rsidRPr="009204CE">
        <w:rPr>
          <w:noProof/>
        </w:rPr>
        <w:t>,</w:t>
      </w:r>
      <w:r w:rsidRPr="009204CE">
        <w:rPr>
          <w:noProof/>
        </w:rPr>
        <w:t xml:space="preserve"> </w:t>
      </w:r>
      <w:r w:rsidR="00887E11" w:rsidRPr="009204CE">
        <w:rPr>
          <w:noProof/>
        </w:rPr>
        <w:t>I strongl</w:t>
      </w:r>
      <w:r w:rsidRPr="009204CE">
        <w:rPr>
          <w:noProof/>
        </w:rPr>
        <w:t xml:space="preserve">y support </w:t>
      </w:r>
      <w:r w:rsidR="001A412A">
        <w:t xml:space="preserve">(name of organization) </w:t>
      </w:r>
      <w:r w:rsidR="00BB54E8">
        <w:rPr>
          <w:noProof/>
        </w:rPr>
        <w:t>membership in</w:t>
      </w:r>
      <w:r w:rsidR="00F93FF6" w:rsidRPr="009204CE">
        <w:rPr>
          <w:noProof/>
        </w:rPr>
        <w:t xml:space="preserve"> the </w:t>
      </w:r>
      <w:r w:rsidR="004D6DC4" w:rsidRPr="009204CE">
        <w:rPr>
          <w:noProof/>
        </w:rPr>
        <w:t>50K Coalition</w:t>
      </w:r>
      <w:r w:rsidR="00F93FF6" w:rsidRPr="009204CE">
        <w:rPr>
          <w:noProof/>
        </w:rPr>
        <w:t>. I</w:t>
      </w:r>
      <w:r w:rsidR="00B56DA2" w:rsidRPr="009204CE">
        <w:rPr>
          <w:noProof/>
        </w:rPr>
        <w:t xml:space="preserve"> believe</w:t>
      </w:r>
      <w:r w:rsidR="009755F6" w:rsidRPr="009204CE">
        <w:rPr>
          <w:noProof/>
        </w:rPr>
        <w:t xml:space="preserve"> that this coalition of </w:t>
      </w:r>
      <w:r w:rsidR="00D35773" w:rsidRPr="009204CE">
        <w:rPr>
          <w:noProof/>
        </w:rPr>
        <w:t>professional engineering societies, higher education institutions</w:t>
      </w:r>
      <w:r w:rsidR="009204CE" w:rsidRPr="009204CE">
        <w:rPr>
          <w:noProof/>
        </w:rPr>
        <w:t>,</w:t>
      </w:r>
      <w:r w:rsidR="00D35773" w:rsidRPr="009204CE">
        <w:rPr>
          <w:noProof/>
        </w:rPr>
        <w:t xml:space="preserve"> and </w:t>
      </w:r>
      <w:r w:rsidR="00025B1E" w:rsidRPr="009204CE">
        <w:rPr>
          <w:noProof/>
        </w:rPr>
        <w:t xml:space="preserve">corporations </w:t>
      </w:r>
      <w:r w:rsidR="00B80EE7">
        <w:rPr>
          <w:noProof/>
        </w:rPr>
        <w:t>has</w:t>
      </w:r>
      <w:r w:rsidR="00FE42AC" w:rsidRPr="009204CE">
        <w:rPr>
          <w:noProof/>
        </w:rPr>
        <w:t xml:space="preserve"> the capacity and expertise </w:t>
      </w:r>
      <w:r w:rsidR="00A94813" w:rsidRPr="00A94813">
        <w:rPr>
          <w:noProof/>
        </w:rPr>
        <w:t>to increase the diversity of engineering school graduates significantly</w:t>
      </w:r>
      <w:r w:rsidR="00C94200" w:rsidRPr="009204CE">
        <w:rPr>
          <w:noProof/>
        </w:rPr>
        <w:t>.</w:t>
      </w:r>
      <w:r w:rsidR="00C94200" w:rsidRPr="009204CE">
        <w:t xml:space="preserve"> </w:t>
      </w:r>
    </w:p>
    <w:p w14:paraId="77564E6C" w14:textId="77777777" w:rsidR="00FE42AC" w:rsidRPr="009204CE" w:rsidRDefault="00FE42AC" w:rsidP="00F65B26">
      <w:pPr>
        <w:spacing w:after="0" w:line="240" w:lineRule="auto"/>
        <w:jc w:val="both"/>
      </w:pPr>
    </w:p>
    <w:p w14:paraId="450B89EF" w14:textId="0D480F86" w:rsidR="00D35773" w:rsidRPr="009204CE" w:rsidRDefault="001A412A" w:rsidP="00F65B26">
      <w:pPr>
        <w:spacing w:before="120" w:after="120" w:line="240" w:lineRule="auto"/>
        <w:jc w:val="both"/>
        <w:rPr>
          <w:i/>
          <w:u w:val="single"/>
        </w:rPr>
      </w:pPr>
      <w:r>
        <w:t xml:space="preserve">(name of organization) </w:t>
      </w:r>
      <w:r w:rsidR="00D35773" w:rsidRPr="009204CE">
        <w:t>is commit</w:t>
      </w:r>
      <w:r w:rsidR="00D85374" w:rsidRPr="009204CE">
        <w:t>t</w:t>
      </w:r>
      <w:r w:rsidR="00D35773" w:rsidRPr="009204CE">
        <w:t xml:space="preserve">ed </w:t>
      </w:r>
      <w:r w:rsidR="00FE42AC" w:rsidRPr="009204CE">
        <w:t xml:space="preserve">to broadening participation in </w:t>
      </w:r>
      <w:r w:rsidR="00B56DA2" w:rsidRPr="009204CE">
        <w:t xml:space="preserve">STEM and </w:t>
      </w:r>
      <w:r w:rsidR="00FE42AC" w:rsidRPr="009204CE">
        <w:t>engineering</w:t>
      </w:r>
      <w:r w:rsidR="00865484" w:rsidRPr="009204CE">
        <w:t>,</w:t>
      </w:r>
      <w:r w:rsidR="00D85374" w:rsidRPr="009204CE">
        <w:t xml:space="preserve"> as demonstrated by o</w:t>
      </w:r>
      <w:r w:rsidR="00FE42AC" w:rsidRPr="009204CE">
        <w:t xml:space="preserve">ur </w:t>
      </w:r>
      <w:r w:rsidR="00FE42AC" w:rsidRPr="009204CE">
        <w:rPr>
          <w:i/>
        </w:rPr>
        <w:t xml:space="preserve">(list </w:t>
      </w:r>
      <w:r w:rsidR="004D6DC4" w:rsidRPr="009204CE">
        <w:rPr>
          <w:i/>
        </w:rPr>
        <w:t xml:space="preserve">1 or </w:t>
      </w:r>
      <w:r w:rsidR="00FE42AC" w:rsidRPr="009204CE">
        <w:rPr>
          <w:i/>
        </w:rPr>
        <w:t xml:space="preserve">2 </w:t>
      </w:r>
      <w:r w:rsidR="00865484" w:rsidRPr="009204CE">
        <w:rPr>
          <w:i/>
        </w:rPr>
        <w:t>current programs</w:t>
      </w:r>
      <w:r w:rsidR="00B9211C">
        <w:rPr>
          <w:i/>
        </w:rPr>
        <w:t>/initiatives</w:t>
      </w:r>
      <w:r w:rsidR="00FE42AC" w:rsidRPr="009204CE">
        <w:rPr>
          <w:i/>
        </w:rPr>
        <w:t xml:space="preserve"> to achieve diversity</w:t>
      </w:r>
      <w:r w:rsidR="00865484" w:rsidRPr="009204CE">
        <w:rPr>
          <w:i/>
        </w:rPr>
        <w:t xml:space="preserve"> in </w:t>
      </w:r>
      <w:r w:rsidR="00865484" w:rsidRPr="009204CE">
        <w:rPr>
          <w:i/>
          <w:noProof/>
        </w:rPr>
        <w:t>engineering</w:t>
      </w:r>
      <w:r w:rsidR="00FE42AC" w:rsidRPr="009204CE">
        <w:rPr>
          <w:i/>
        </w:rPr>
        <w:t>):</w:t>
      </w:r>
    </w:p>
    <w:p w14:paraId="17F6AF0E" w14:textId="77777777" w:rsidR="004D6DC4" w:rsidRPr="009204CE" w:rsidRDefault="004D6DC4" w:rsidP="00F65B26">
      <w:pPr>
        <w:spacing w:after="0" w:line="240" w:lineRule="auto"/>
        <w:jc w:val="both"/>
      </w:pPr>
    </w:p>
    <w:p w14:paraId="07A5B8BC" w14:textId="66B659A8" w:rsidR="00B56DA2" w:rsidRPr="009204CE" w:rsidRDefault="001A412A" w:rsidP="00F65B26">
      <w:pPr>
        <w:spacing w:after="0" w:line="240" w:lineRule="auto"/>
        <w:jc w:val="both"/>
      </w:pPr>
      <w:r>
        <w:t xml:space="preserve">(name of organization) </w:t>
      </w:r>
      <w:r w:rsidR="004D6DC4" w:rsidRPr="009204CE">
        <w:t xml:space="preserve">plans to </w:t>
      </w:r>
      <w:r w:rsidR="000F1936" w:rsidRPr="009204CE">
        <w:t>join the</w:t>
      </w:r>
      <w:r w:rsidR="004D6DC4" w:rsidRPr="009204CE">
        <w:t xml:space="preserve"> (name </w:t>
      </w:r>
      <w:r w:rsidR="00865484" w:rsidRPr="009204CE">
        <w:t xml:space="preserve">one of the </w:t>
      </w:r>
      <w:r w:rsidR="000F1936" w:rsidRPr="009204CE">
        <w:t xml:space="preserve">two </w:t>
      </w:r>
      <w:r w:rsidR="00FE42AC" w:rsidRPr="009204CE">
        <w:t>Action Network Group</w:t>
      </w:r>
      <w:r w:rsidR="00865484" w:rsidRPr="009204CE">
        <w:t>s</w:t>
      </w:r>
      <w:r w:rsidR="004D6DC4" w:rsidRPr="009204CE">
        <w:t xml:space="preserve"> you will </w:t>
      </w:r>
      <w:r w:rsidR="00F93FF6" w:rsidRPr="009204CE">
        <w:rPr>
          <w:noProof/>
        </w:rPr>
        <w:t>join</w:t>
      </w:r>
      <w:r w:rsidR="009204CE" w:rsidRPr="009204CE">
        <w:rPr>
          <w:noProof/>
        </w:rPr>
        <w:t>,</w:t>
      </w:r>
      <w:r w:rsidR="000F1936" w:rsidRPr="009204CE">
        <w:rPr>
          <w:noProof/>
        </w:rPr>
        <w:t xml:space="preserve"> </w:t>
      </w:r>
      <w:r w:rsidR="00B9211C">
        <w:rPr>
          <w:noProof/>
        </w:rPr>
        <w:t>e</w:t>
      </w:r>
      <w:r w:rsidR="000F1936" w:rsidRPr="009204CE">
        <w:rPr>
          <w:noProof/>
        </w:rPr>
        <w:t>.</w:t>
      </w:r>
      <w:r w:rsidR="00B9211C">
        <w:rPr>
          <w:noProof/>
        </w:rPr>
        <w:t>g</w:t>
      </w:r>
      <w:r w:rsidR="000F1936" w:rsidRPr="009204CE">
        <w:rPr>
          <w:noProof/>
        </w:rPr>
        <w:t>., Community College Linkages ANG or Undergraduate Student Support &amp; Retention ANG</w:t>
      </w:r>
      <w:r>
        <w:rPr>
          <w:noProof/>
        </w:rPr>
        <w:t xml:space="preserve"> – see description on the following page</w:t>
      </w:r>
      <w:r w:rsidR="004D6DC4" w:rsidRPr="009204CE">
        <w:t>), p</w:t>
      </w:r>
      <w:r w:rsidR="00E149AE" w:rsidRPr="009204CE">
        <w:t xml:space="preserve">articipate in </w:t>
      </w:r>
      <w:r w:rsidR="004D6DC4" w:rsidRPr="009204CE">
        <w:t>the 50K coalition</w:t>
      </w:r>
      <w:r>
        <w:t>’</w:t>
      </w:r>
      <w:r w:rsidR="004D6DC4" w:rsidRPr="009204CE">
        <w:t xml:space="preserve">s </w:t>
      </w:r>
      <w:r w:rsidR="00E149AE" w:rsidRPr="009204CE">
        <w:t xml:space="preserve">annual </w:t>
      </w:r>
      <w:r w:rsidR="004D6DC4" w:rsidRPr="009204CE">
        <w:t xml:space="preserve">convenings, </w:t>
      </w:r>
      <w:r>
        <w:rPr>
          <w:noProof/>
        </w:rPr>
        <w:t>join</w:t>
      </w:r>
      <w:r w:rsidR="00FE42AC" w:rsidRPr="009204CE">
        <w:t xml:space="preserve"> in </w:t>
      </w:r>
      <w:r w:rsidR="00F65B26" w:rsidRPr="009204CE">
        <w:t xml:space="preserve">50K Coalition </w:t>
      </w:r>
      <w:r w:rsidR="00FE42AC" w:rsidRPr="009204CE">
        <w:t>webinars</w:t>
      </w:r>
      <w:r w:rsidR="004D6DC4" w:rsidRPr="009204CE">
        <w:t>, and c</w:t>
      </w:r>
      <w:r w:rsidR="00B56DA2" w:rsidRPr="009204CE">
        <w:t xml:space="preserve">ollect and report data on </w:t>
      </w:r>
      <w:r w:rsidR="004D6DC4" w:rsidRPr="009204CE">
        <w:t xml:space="preserve">the </w:t>
      </w:r>
      <w:r w:rsidR="00B9211C">
        <w:t>programs mentioned above</w:t>
      </w:r>
      <w:r w:rsidR="004D6DC4" w:rsidRPr="009204CE">
        <w:t>.</w:t>
      </w:r>
    </w:p>
    <w:p w14:paraId="2734D372" w14:textId="77777777" w:rsidR="004D6DC4" w:rsidRPr="009204CE" w:rsidRDefault="004D6DC4" w:rsidP="00F65B26">
      <w:pPr>
        <w:spacing w:after="0" w:line="240" w:lineRule="auto"/>
        <w:jc w:val="both"/>
      </w:pPr>
    </w:p>
    <w:p w14:paraId="5AA9D965" w14:textId="239C438A" w:rsidR="00D85374" w:rsidRPr="00D81B33" w:rsidRDefault="00B9211C" w:rsidP="00F65B26">
      <w:pPr>
        <w:spacing w:after="0" w:line="240" w:lineRule="auto"/>
        <w:jc w:val="both"/>
        <w:rPr>
          <w:b/>
          <w:bCs/>
        </w:rPr>
      </w:pPr>
      <w:r w:rsidRPr="00D81B33">
        <w:rPr>
          <w:b/>
          <w:bCs/>
        </w:rPr>
        <w:t>Optional info</w:t>
      </w:r>
      <w:r w:rsidR="00A94813">
        <w:rPr>
          <w:b/>
          <w:bCs/>
        </w:rPr>
        <w:t>,</w:t>
      </w:r>
      <w:r w:rsidRPr="00D81B33">
        <w:rPr>
          <w:b/>
          <w:bCs/>
        </w:rPr>
        <w:t xml:space="preserve"> if it</w:t>
      </w:r>
      <w:r w:rsidR="001A412A">
        <w:rPr>
          <w:b/>
          <w:bCs/>
        </w:rPr>
        <w:t>’</w:t>
      </w:r>
      <w:r w:rsidRPr="00D81B33">
        <w:rPr>
          <w:b/>
          <w:bCs/>
        </w:rPr>
        <w:t xml:space="preserve">s available:  </w:t>
      </w:r>
      <w:r w:rsidR="00F65B26" w:rsidRPr="00D81B33">
        <w:rPr>
          <w:b/>
          <w:bCs/>
        </w:rPr>
        <w:t>The following staff members</w:t>
      </w:r>
      <w:r w:rsidR="00FE42AC" w:rsidRPr="00D81B33">
        <w:rPr>
          <w:b/>
          <w:bCs/>
          <w:noProof/>
        </w:rPr>
        <w:t xml:space="preserve"> (names</w:t>
      </w:r>
      <w:r w:rsidR="00F65B26" w:rsidRPr="00D81B33">
        <w:rPr>
          <w:b/>
          <w:bCs/>
          <w:noProof/>
        </w:rPr>
        <w:t xml:space="preserve">, </w:t>
      </w:r>
      <w:r w:rsidR="00FE42AC" w:rsidRPr="00D81B33">
        <w:rPr>
          <w:b/>
          <w:bCs/>
          <w:noProof/>
        </w:rPr>
        <w:t>titles</w:t>
      </w:r>
      <w:r w:rsidR="00F65B26" w:rsidRPr="00D81B33">
        <w:rPr>
          <w:b/>
          <w:bCs/>
          <w:noProof/>
        </w:rPr>
        <w:t>, roles, and responsibilities of staff members</w:t>
      </w:r>
      <w:r w:rsidR="00FE42AC" w:rsidRPr="00D81B33">
        <w:rPr>
          <w:b/>
          <w:bCs/>
          <w:noProof/>
        </w:rPr>
        <w:t>)</w:t>
      </w:r>
      <w:r w:rsidR="00B56DA2" w:rsidRPr="00D81B33">
        <w:rPr>
          <w:b/>
          <w:bCs/>
          <w:noProof/>
        </w:rPr>
        <w:t xml:space="preserve"> will</w:t>
      </w:r>
      <w:r w:rsidR="00B56DA2" w:rsidRPr="00D81B33">
        <w:rPr>
          <w:b/>
          <w:bCs/>
        </w:rPr>
        <w:t xml:space="preserve"> </w:t>
      </w:r>
      <w:r w:rsidRPr="00D81B33">
        <w:rPr>
          <w:b/>
          <w:bCs/>
        </w:rPr>
        <w:t xml:space="preserve">be your contact point and </w:t>
      </w:r>
      <w:r w:rsidR="00B56DA2" w:rsidRPr="00D81B33">
        <w:rPr>
          <w:b/>
          <w:bCs/>
        </w:rPr>
        <w:t>participate in 50</w:t>
      </w:r>
      <w:r w:rsidR="00F93FF6" w:rsidRPr="00D81B33">
        <w:rPr>
          <w:b/>
          <w:bCs/>
        </w:rPr>
        <w:t>K</w:t>
      </w:r>
      <w:r w:rsidR="00B56DA2" w:rsidRPr="00D81B33">
        <w:rPr>
          <w:b/>
          <w:bCs/>
        </w:rPr>
        <w:t xml:space="preserve"> </w:t>
      </w:r>
      <w:r w:rsidR="004D6DC4" w:rsidRPr="00D81B33">
        <w:rPr>
          <w:b/>
          <w:bCs/>
        </w:rPr>
        <w:t>Coalition</w:t>
      </w:r>
      <w:r w:rsidR="00B56DA2" w:rsidRPr="00D81B33">
        <w:rPr>
          <w:b/>
          <w:bCs/>
        </w:rPr>
        <w:t xml:space="preserve"> activities</w:t>
      </w:r>
      <w:r w:rsidR="00F65B26" w:rsidRPr="00D81B33">
        <w:rPr>
          <w:b/>
          <w:bCs/>
        </w:rPr>
        <w:t>.</w:t>
      </w:r>
      <w:r w:rsidR="00F93FF6" w:rsidRPr="00D81B33">
        <w:rPr>
          <w:b/>
          <w:bCs/>
        </w:rPr>
        <w:t xml:space="preserve">  </w:t>
      </w:r>
    </w:p>
    <w:p w14:paraId="090A14CD" w14:textId="77777777" w:rsidR="00F65B26" w:rsidRPr="009204CE" w:rsidRDefault="00F65B26" w:rsidP="00F65B26">
      <w:pPr>
        <w:spacing w:after="0" w:line="240" w:lineRule="auto"/>
        <w:jc w:val="both"/>
      </w:pPr>
    </w:p>
    <w:p w14:paraId="4105F100" w14:textId="2423D250" w:rsidR="00D85374" w:rsidRPr="009204CE" w:rsidRDefault="00B56DA2" w:rsidP="00F65B26">
      <w:pPr>
        <w:spacing w:after="0" w:line="240" w:lineRule="auto"/>
        <w:jc w:val="both"/>
      </w:pPr>
      <w:r w:rsidRPr="009204CE">
        <w:t xml:space="preserve">The leadership of </w:t>
      </w:r>
      <w:r w:rsidR="001A412A">
        <w:t xml:space="preserve">(name of organization) </w:t>
      </w:r>
      <w:r w:rsidRPr="009204CE">
        <w:t xml:space="preserve">is committed to the work of the </w:t>
      </w:r>
      <w:r w:rsidR="00F93FF6" w:rsidRPr="009204CE">
        <w:t xml:space="preserve">50K Coalition. </w:t>
      </w:r>
      <w:r w:rsidR="00025B1E" w:rsidRPr="009204CE">
        <w:t xml:space="preserve">I </w:t>
      </w:r>
      <w:r w:rsidR="00F65B26" w:rsidRPr="009204CE">
        <w:rPr>
          <w:noProof/>
        </w:rPr>
        <w:t>do not</w:t>
      </w:r>
      <w:r w:rsidR="00025B1E" w:rsidRPr="009204CE">
        <w:rPr>
          <w:noProof/>
        </w:rPr>
        <w:t xml:space="preserve"> doubt</w:t>
      </w:r>
      <w:r w:rsidR="00025B1E" w:rsidRPr="009204CE">
        <w:t xml:space="preserve"> that </w:t>
      </w:r>
      <w:r w:rsidR="00F93FF6" w:rsidRPr="009204CE">
        <w:t>our participation</w:t>
      </w:r>
      <w:r w:rsidR="00025B1E" w:rsidRPr="009204CE">
        <w:rPr>
          <w:rFonts w:cstheme="minorHAnsi"/>
        </w:rPr>
        <w:t xml:space="preserve"> will </w:t>
      </w:r>
      <w:r w:rsidR="00F93FF6" w:rsidRPr="009204CE">
        <w:rPr>
          <w:rFonts w:cstheme="minorHAnsi"/>
        </w:rPr>
        <w:t>support the 50K Coalition</w:t>
      </w:r>
      <w:r w:rsidR="009204CE" w:rsidRPr="009204CE">
        <w:rPr>
          <w:rFonts w:cstheme="minorHAnsi"/>
        </w:rPr>
        <w:t xml:space="preserve"> and i</w:t>
      </w:r>
      <w:r w:rsidR="00F93FF6" w:rsidRPr="009204CE">
        <w:rPr>
          <w:rFonts w:cstheme="minorHAnsi"/>
        </w:rPr>
        <w:t xml:space="preserve">ts members </w:t>
      </w:r>
      <w:r w:rsidR="009204CE" w:rsidRPr="009204CE">
        <w:rPr>
          <w:rFonts w:cstheme="minorHAnsi"/>
        </w:rPr>
        <w:t xml:space="preserve">to </w:t>
      </w:r>
      <w:r w:rsidR="00025B1E" w:rsidRPr="009204CE">
        <w:rPr>
          <w:rFonts w:cstheme="minorHAnsi"/>
        </w:rPr>
        <w:t xml:space="preserve">make </w:t>
      </w:r>
      <w:r w:rsidR="00F65B26" w:rsidRPr="009204CE">
        <w:rPr>
          <w:rFonts w:cstheme="minorHAnsi"/>
        </w:rPr>
        <w:t>noteworthy progress</w:t>
      </w:r>
      <w:r w:rsidR="00025B1E" w:rsidRPr="009204CE">
        <w:rPr>
          <w:rFonts w:cstheme="minorHAnsi"/>
        </w:rPr>
        <w:t xml:space="preserve"> in broadening </w:t>
      </w:r>
      <w:r w:rsidR="00A94813">
        <w:rPr>
          <w:rFonts w:cstheme="minorHAnsi"/>
        </w:rPr>
        <w:t xml:space="preserve">BIPOC and women’s </w:t>
      </w:r>
      <w:r w:rsidR="00025B1E" w:rsidRPr="009204CE">
        <w:rPr>
          <w:rFonts w:cstheme="minorHAnsi"/>
        </w:rPr>
        <w:t>participation in STEM and engineering that the nation and the engineering community urgently need.</w:t>
      </w:r>
      <w:r w:rsidR="00121315" w:rsidRPr="009204CE">
        <w:t xml:space="preserve"> </w:t>
      </w:r>
    </w:p>
    <w:p w14:paraId="1BFB69C4" w14:textId="77777777" w:rsidR="00AF6991" w:rsidRPr="009204CE" w:rsidRDefault="00AF6991" w:rsidP="00032FFD">
      <w:pPr>
        <w:spacing w:after="0" w:line="240" w:lineRule="auto"/>
        <w:jc w:val="both"/>
      </w:pPr>
    </w:p>
    <w:p w14:paraId="171532BD" w14:textId="77777777" w:rsidR="00AF6991" w:rsidRPr="009204CE" w:rsidRDefault="00AF6991" w:rsidP="00C94200">
      <w:pPr>
        <w:spacing w:after="0" w:line="240" w:lineRule="auto"/>
      </w:pPr>
      <w:r w:rsidRPr="009204CE">
        <w:t>Sincerely,</w:t>
      </w:r>
    </w:p>
    <w:p w14:paraId="2348286C" w14:textId="4741C7CC" w:rsidR="00D35773" w:rsidRDefault="00D35773" w:rsidP="00C94200">
      <w:pPr>
        <w:spacing w:after="0" w:line="240" w:lineRule="auto"/>
      </w:pPr>
    </w:p>
    <w:p w14:paraId="419AB3E0" w14:textId="66F37F40" w:rsidR="001A412A" w:rsidRDefault="001A412A">
      <w:r>
        <w:br w:type="page"/>
      </w:r>
    </w:p>
    <w:p w14:paraId="5396D8E3" w14:textId="389C42E7" w:rsidR="001A412A" w:rsidRPr="00DE2706" w:rsidRDefault="001A412A" w:rsidP="001A412A">
      <w:pPr>
        <w:spacing w:before="120" w:after="120" w:line="305" w:lineRule="atLeast"/>
        <w:jc w:val="both"/>
        <w:rPr>
          <w:b/>
          <w:u w:val="single"/>
        </w:rPr>
      </w:pPr>
      <w:r>
        <w:rPr>
          <w:u w:val="single"/>
        </w:rPr>
        <w:lastRenderedPageBreak/>
        <w:t xml:space="preserve">Description of The 50K Coalition’s  </w:t>
      </w:r>
      <w:r w:rsidRPr="00DE2706">
        <w:rPr>
          <w:u w:val="single"/>
        </w:rPr>
        <w:t>Common Agenda</w:t>
      </w:r>
      <w:r>
        <w:rPr>
          <w:u w:val="single"/>
        </w:rPr>
        <w:t xml:space="preserve"> and Action Network Groups</w:t>
      </w:r>
    </w:p>
    <w:p w14:paraId="5D0B5002" w14:textId="300EE33E" w:rsidR="001A412A" w:rsidRPr="00DE2706" w:rsidRDefault="001A412A" w:rsidP="001A412A">
      <w:pPr>
        <w:spacing w:before="120" w:after="120" w:line="305" w:lineRule="atLeast"/>
        <w:jc w:val="both"/>
        <w:rPr>
          <w:b/>
        </w:rPr>
      </w:pPr>
      <w:r w:rsidRPr="00DE2706">
        <w:t>The following are the agreed</w:t>
      </w:r>
      <w:r>
        <w:t>-</w:t>
      </w:r>
      <w:r w:rsidRPr="00DE2706">
        <w:t xml:space="preserve">upon </w:t>
      </w:r>
      <w:r>
        <w:t>agenda items</w:t>
      </w:r>
      <w:r w:rsidRPr="00DE2706">
        <w:t xml:space="preserve"> </w:t>
      </w:r>
      <w:r>
        <w:t>upon which the 50K C</w:t>
      </w:r>
      <w:r w:rsidRPr="00DE2706">
        <w:t>oalition</w:t>
      </w:r>
      <w:r>
        <w:t>’s Action Network Groups</w:t>
      </w:r>
      <w:r w:rsidRPr="00DE2706">
        <w:t xml:space="preserve"> will take collaborative action towards achieving the national goal of producing 50,000 diverse engineering graduates annually by 2025:</w:t>
      </w:r>
    </w:p>
    <w:p w14:paraId="16094AE0" w14:textId="77777777" w:rsidR="001A412A" w:rsidRPr="004867EC" w:rsidRDefault="001A412A" w:rsidP="001A412A">
      <w:pPr>
        <w:pStyle w:val="ListParagraph"/>
        <w:numPr>
          <w:ilvl w:val="1"/>
          <w:numId w:val="5"/>
        </w:numPr>
        <w:spacing w:before="120" w:after="120" w:line="305" w:lineRule="atLeast"/>
        <w:ind w:left="360"/>
        <w:contextualSpacing w:val="0"/>
        <w:jc w:val="both"/>
        <w:rPr>
          <w:b/>
        </w:rPr>
      </w:pPr>
      <w:r w:rsidRPr="004867EC">
        <w:rPr>
          <w:b/>
        </w:rPr>
        <w:t>Undergraduate Support and Retention</w:t>
      </w:r>
    </w:p>
    <w:p w14:paraId="7D8A274C" w14:textId="16CF1968" w:rsidR="001A412A" w:rsidRPr="00DE2706" w:rsidRDefault="001A412A" w:rsidP="001A412A">
      <w:pPr>
        <w:spacing w:before="120" w:after="120" w:line="305" w:lineRule="atLeast"/>
        <w:ind w:left="360"/>
        <w:jc w:val="both"/>
        <w:rPr>
          <w:b/>
        </w:rPr>
      </w:pPr>
      <w:r w:rsidRPr="00DE2706">
        <w:t xml:space="preserve">This </w:t>
      </w:r>
      <w:r w:rsidRPr="00D1727E">
        <w:rPr>
          <w:noProof/>
        </w:rPr>
        <w:t>agenda item</w:t>
      </w:r>
      <w:r w:rsidRPr="00DE2706">
        <w:t xml:space="preserve"> considers four subareas intended to increase our coalition member college and universities</w:t>
      </w:r>
      <w:r>
        <w:t>’</w:t>
      </w:r>
      <w:r w:rsidRPr="00DE2706">
        <w:t xml:space="preserve"> ability to recruit, enroll, </w:t>
      </w:r>
      <w:proofErr w:type="gramStart"/>
      <w:r w:rsidRPr="00DE2706">
        <w:t>retain</w:t>
      </w:r>
      <w:proofErr w:type="gramEnd"/>
      <w:r w:rsidRPr="00DE2706">
        <w:t xml:space="preserve"> and graduate more women and underrepresented students: </w:t>
      </w:r>
    </w:p>
    <w:p w14:paraId="38128A18" w14:textId="77777777" w:rsidR="001A412A" w:rsidRPr="00DE2706" w:rsidRDefault="001A412A" w:rsidP="001A412A">
      <w:pPr>
        <w:pStyle w:val="ListParagraph"/>
        <w:numPr>
          <w:ilvl w:val="0"/>
          <w:numId w:val="4"/>
        </w:numPr>
        <w:spacing w:before="120" w:after="120" w:line="305" w:lineRule="atLeast"/>
        <w:ind w:left="720"/>
        <w:contextualSpacing w:val="0"/>
        <w:jc w:val="both"/>
        <w:rPr>
          <w:b/>
          <w:i/>
        </w:rPr>
      </w:pPr>
      <w:r w:rsidRPr="00DE2706">
        <w:rPr>
          <w:i/>
        </w:rPr>
        <w:t>Recruitment and Admission</w:t>
      </w:r>
    </w:p>
    <w:p w14:paraId="3A487B62" w14:textId="12EBDA08" w:rsidR="001A412A" w:rsidRDefault="001A412A" w:rsidP="001A412A">
      <w:pPr>
        <w:spacing w:before="120" w:after="120" w:line="305" w:lineRule="atLeast"/>
        <w:ind w:left="720"/>
        <w:jc w:val="both"/>
      </w:pPr>
      <w:r w:rsidRPr="00DE2706">
        <w:t>These activities comprise culturally</w:t>
      </w:r>
      <w:r>
        <w:t xml:space="preserve"> </w:t>
      </w:r>
      <w:r w:rsidRPr="00DE2706">
        <w:t>relevant, data-driven targeted recruitment of women and underrepresented students from traditional (high schools) and non-traditional sources</w:t>
      </w:r>
      <w:r>
        <w:t>,</w:t>
      </w:r>
      <w:r w:rsidRPr="00DE2706">
        <w:t xml:space="preserve"> including community colleges and undeclared students. It includes </w:t>
      </w:r>
      <w:r w:rsidR="00B80EE7">
        <w:t>increasing</w:t>
      </w:r>
      <w:r w:rsidRPr="00DE2706">
        <w:t xml:space="preserve"> engineering enrollment by reviewing and broadening admissions criteria to consider non-cognitive factors.</w:t>
      </w:r>
    </w:p>
    <w:p w14:paraId="77A07475" w14:textId="77777777" w:rsidR="001A412A" w:rsidRPr="00DE2706" w:rsidRDefault="001A412A" w:rsidP="001A412A">
      <w:pPr>
        <w:pStyle w:val="ListParagraph"/>
        <w:numPr>
          <w:ilvl w:val="0"/>
          <w:numId w:val="6"/>
        </w:numPr>
        <w:spacing w:before="120" w:after="120" w:line="305" w:lineRule="atLeast"/>
        <w:ind w:left="720"/>
        <w:contextualSpacing w:val="0"/>
        <w:jc w:val="both"/>
        <w:rPr>
          <w:b/>
          <w:i/>
        </w:rPr>
      </w:pPr>
      <w:r w:rsidRPr="00DE2706">
        <w:rPr>
          <w:i/>
        </w:rPr>
        <w:t>Retention and Support Services</w:t>
      </w:r>
    </w:p>
    <w:p w14:paraId="61A0B0E7" w14:textId="7154C663" w:rsidR="001A412A" w:rsidRPr="00DE2706" w:rsidRDefault="001A412A" w:rsidP="001A412A">
      <w:pPr>
        <w:spacing w:before="120" w:after="120" w:line="305" w:lineRule="atLeast"/>
        <w:ind w:left="720"/>
        <w:jc w:val="both"/>
        <w:rPr>
          <w:b/>
        </w:rPr>
      </w:pPr>
      <w:r>
        <w:t>Retention and Support Services</w:t>
      </w:r>
      <w:r w:rsidRPr="00DE2706">
        <w:t xml:space="preserve"> involves Intentional support of women and underrepresented engineering students</w:t>
      </w:r>
      <w:r>
        <w:t>, focusing</w:t>
      </w:r>
      <w:r w:rsidRPr="00DE2706">
        <w:t xml:space="preserve"> on the first-t</w:t>
      </w:r>
      <w:r>
        <w:t>o</w:t>
      </w:r>
      <w:r w:rsidRPr="00DE2706">
        <w:t xml:space="preserve">-second year and transfer students. Activities may include mentoring, early-alert services, summer </w:t>
      </w:r>
      <w:r w:rsidRPr="00B92A5D">
        <w:rPr>
          <w:noProof/>
        </w:rPr>
        <w:t>bridge</w:t>
      </w:r>
      <w:r>
        <w:rPr>
          <w:noProof/>
        </w:rPr>
        <w:t>,</w:t>
      </w:r>
      <w:r w:rsidRPr="00DE2706">
        <w:t xml:space="preserve"> and first-year programs. Data-driven efforts to track, identify and mitigate factors </w:t>
      </w:r>
      <w:r w:rsidR="00B80EE7">
        <w:t>contributing</w:t>
      </w:r>
      <w:r w:rsidRPr="00DE2706">
        <w:t xml:space="preserve"> to achievement gaps also fall into this cluster. The overall focus here is on supporting students with less emphasis on </w:t>
      </w:r>
      <w:r>
        <w:t>“</w:t>
      </w:r>
      <w:r w:rsidRPr="00DE2706">
        <w:t>weeding out.</w:t>
      </w:r>
      <w:r>
        <w:t>”</w:t>
      </w:r>
    </w:p>
    <w:p w14:paraId="6CAF6642" w14:textId="77777777" w:rsidR="001A412A" w:rsidRPr="00DE2706" w:rsidRDefault="001A412A" w:rsidP="001A412A">
      <w:pPr>
        <w:pStyle w:val="ListParagraph"/>
        <w:numPr>
          <w:ilvl w:val="0"/>
          <w:numId w:val="6"/>
        </w:numPr>
        <w:spacing w:before="120" w:after="120" w:line="305" w:lineRule="atLeast"/>
        <w:ind w:left="720"/>
        <w:contextualSpacing w:val="0"/>
        <w:jc w:val="both"/>
        <w:rPr>
          <w:b/>
          <w:i/>
        </w:rPr>
      </w:pPr>
      <w:r w:rsidRPr="00DE2706">
        <w:rPr>
          <w:i/>
        </w:rPr>
        <w:t>Curriculum and Pedagogy</w:t>
      </w:r>
    </w:p>
    <w:p w14:paraId="1FF2D1BD" w14:textId="5C4BA632" w:rsidR="001A412A" w:rsidRPr="00DE2706" w:rsidRDefault="001A412A" w:rsidP="001A412A">
      <w:pPr>
        <w:spacing w:before="120" w:after="120" w:line="305" w:lineRule="atLeast"/>
        <w:ind w:left="720"/>
        <w:jc w:val="both"/>
        <w:rPr>
          <w:b/>
        </w:rPr>
      </w:pPr>
      <w:r w:rsidRPr="00DE2706">
        <w:t>This sub-cluster seeks to evaluate and reform engineering curricula to address what is required for</w:t>
      </w:r>
      <w:r>
        <w:t xml:space="preserve"> </w:t>
      </w:r>
      <w:r w:rsidRPr="00B92A5D">
        <w:rPr>
          <w:noProof/>
        </w:rPr>
        <w:t>21st</w:t>
      </w:r>
      <w:r>
        <w:t>-</w:t>
      </w:r>
      <w:r w:rsidRPr="00DE2706">
        <w:t xml:space="preserve">century learning modes and skills.  </w:t>
      </w:r>
      <w:r w:rsidRPr="00B92A5D">
        <w:rPr>
          <w:noProof/>
        </w:rPr>
        <w:t>Thes</w:t>
      </w:r>
      <w:r>
        <w:rPr>
          <w:noProof/>
        </w:rPr>
        <w:t xml:space="preserve">e </w:t>
      </w:r>
      <w:r w:rsidRPr="00403A4B">
        <w:rPr>
          <w:noProof/>
        </w:rPr>
        <w:t>modes</w:t>
      </w:r>
      <w:r>
        <w:rPr>
          <w:noProof/>
        </w:rPr>
        <w:t xml:space="preserve"> and competencie</w:t>
      </w:r>
      <w:r w:rsidRPr="00B80A32">
        <w:rPr>
          <w:noProof/>
        </w:rPr>
        <w:t>s</w:t>
      </w:r>
      <w:r w:rsidRPr="00B92A5D">
        <w:rPr>
          <w:noProof/>
        </w:rPr>
        <w:t xml:space="preserve"> include</w:t>
      </w:r>
      <w:r w:rsidRPr="00DE2706">
        <w:t xml:space="preserve"> utilizing pedagogical best practices, instilling growth mindsets in students, and reforming the </w:t>
      </w:r>
      <w:r>
        <w:t>engineering curricula’ pace and pathways</w:t>
      </w:r>
      <w:r w:rsidRPr="00DE2706">
        <w:t>.</w:t>
      </w:r>
    </w:p>
    <w:p w14:paraId="4164F888" w14:textId="77777777" w:rsidR="001A412A" w:rsidRPr="00DE2706" w:rsidRDefault="001A412A" w:rsidP="001A412A">
      <w:pPr>
        <w:pStyle w:val="ListParagraph"/>
        <w:numPr>
          <w:ilvl w:val="0"/>
          <w:numId w:val="6"/>
        </w:numPr>
        <w:spacing w:before="120" w:after="120" w:line="305" w:lineRule="atLeast"/>
        <w:ind w:left="720"/>
        <w:jc w:val="both"/>
        <w:rPr>
          <w:b/>
          <w:i/>
        </w:rPr>
      </w:pPr>
      <w:r w:rsidRPr="00DE2706">
        <w:rPr>
          <w:i/>
        </w:rPr>
        <w:t>Faculty Development</w:t>
      </w:r>
    </w:p>
    <w:p w14:paraId="599F4E13" w14:textId="0789BBAB" w:rsidR="001A412A" w:rsidRDefault="001A412A" w:rsidP="001A412A">
      <w:pPr>
        <w:spacing w:before="120" w:after="120" w:line="305" w:lineRule="atLeast"/>
        <w:ind w:left="720"/>
        <w:jc w:val="both"/>
      </w:pPr>
      <w:r w:rsidRPr="00DE2706">
        <w:t xml:space="preserve">This sub-category comprises initiatives that increase faculty diversity while raising awareness and training about diversity and inclusion. </w:t>
      </w:r>
      <w:r>
        <w:t>Faculty development a</w:t>
      </w:r>
      <w:r w:rsidRPr="00DE2706">
        <w:t xml:space="preserve">ctivities may </w:t>
      </w:r>
      <w:proofErr w:type="gramStart"/>
      <w:r w:rsidRPr="00DE2706">
        <w:t>include</w:t>
      </w:r>
      <w:r>
        <w:t>;</w:t>
      </w:r>
      <w:proofErr w:type="gramEnd"/>
      <w:r>
        <w:t xml:space="preserve"> 1) uncovering </w:t>
      </w:r>
      <w:r w:rsidRPr="00DE2706">
        <w:t>unconscious bias and stereotype threat</w:t>
      </w:r>
      <w:r>
        <w:t>s; 2) i</w:t>
      </w:r>
      <w:r w:rsidRPr="00DE2706">
        <w:t xml:space="preserve">ncentivizing great </w:t>
      </w:r>
      <w:r w:rsidRPr="00B92A5D">
        <w:rPr>
          <w:noProof/>
        </w:rPr>
        <w:t>teachers and</w:t>
      </w:r>
      <w:r w:rsidRPr="00DE2706">
        <w:t xml:space="preserve"> increasing awareness of faculty </w:t>
      </w:r>
      <w:r w:rsidR="00B80EE7">
        <w:t>with</w:t>
      </w:r>
      <w:r w:rsidRPr="00DE2706">
        <w:t xml:space="preserve"> </w:t>
      </w:r>
      <w:r>
        <w:t>excellent</w:t>
      </w:r>
      <w:r w:rsidRPr="00DE2706">
        <w:t xml:space="preserve"> </w:t>
      </w:r>
      <w:r>
        <w:t>or</w:t>
      </w:r>
      <w:r w:rsidRPr="00DE2706">
        <w:t xml:space="preserve"> poor track records </w:t>
      </w:r>
      <w:r w:rsidR="00A94813">
        <w:t xml:space="preserve">in </w:t>
      </w:r>
      <w:r w:rsidRPr="00DE2706">
        <w:t>teaching and mentoring underrepresented students.</w:t>
      </w:r>
    </w:p>
    <w:p w14:paraId="5D452715" w14:textId="77777777" w:rsidR="001A412A" w:rsidRPr="004867EC" w:rsidRDefault="001A412A" w:rsidP="001A412A">
      <w:pPr>
        <w:pStyle w:val="ListParagraph"/>
        <w:numPr>
          <w:ilvl w:val="0"/>
          <w:numId w:val="7"/>
        </w:numPr>
        <w:spacing w:before="120" w:after="120" w:line="305" w:lineRule="atLeast"/>
        <w:jc w:val="both"/>
        <w:rPr>
          <w:b/>
        </w:rPr>
      </w:pPr>
      <w:r w:rsidRPr="004867EC">
        <w:rPr>
          <w:b/>
        </w:rPr>
        <w:t>Community College Linkages</w:t>
      </w:r>
    </w:p>
    <w:p w14:paraId="7F5CF1F4" w14:textId="2EAEEB68" w:rsidR="001A412A" w:rsidRDefault="001A412A" w:rsidP="001A412A">
      <w:pPr>
        <w:spacing w:before="120" w:after="120" w:line="305" w:lineRule="atLeast"/>
        <w:ind w:left="360"/>
        <w:jc w:val="both"/>
      </w:pPr>
      <w:r w:rsidRPr="00DE2706">
        <w:t xml:space="preserve">These activities build intentional linkages between community colleges and colleges of engineering as </w:t>
      </w:r>
      <w:r w:rsidRPr="00B80A32">
        <w:rPr>
          <w:noProof/>
        </w:rPr>
        <w:t>a</w:t>
      </w:r>
      <w:r>
        <w:rPr>
          <w:noProof/>
        </w:rPr>
        <w:t xml:space="preserve"> critical</w:t>
      </w:r>
      <w:r w:rsidRPr="00B80A32">
        <w:rPr>
          <w:noProof/>
        </w:rPr>
        <w:t xml:space="preserve"> component of the</w:t>
      </w:r>
      <w:r w:rsidRPr="00DE2706">
        <w:t xml:space="preserve"> engineering graduate pipeline. Specific initiatives may </w:t>
      </w:r>
      <w:proofErr w:type="gramStart"/>
      <w:r w:rsidRPr="00DE2706">
        <w:t>include</w:t>
      </w:r>
      <w:r>
        <w:t>;</w:t>
      </w:r>
      <w:proofErr w:type="gramEnd"/>
      <w:r w:rsidRPr="00DE2706">
        <w:t xml:space="preserve"> </w:t>
      </w:r>
      <w:r>
        <w:t xml:space="preserve">1) </w:t>
      </w:r>
      <w:r w:rsidRPr="00DE2706">
        <w:t>early advising</w:t>
      </w:r>
      <w:r w:rsidR="00A94813">
        <w:t>,</w:t>
      </w:r>
      <w:r w:rsidRPr="00DE2706">
        <w:t xml:space="preserve"> </w:t>
      </w:r>
      <w:r>
        <w:t xml:space="preserve">2) </w:t>
      </w:r>
      <w:r w:rsidRPr="00DE2706">
        <w:t>an increase in articulation agreements to ensure course alignment</w:t>
      </w:r>
      <w:r w:rsidR="00A94813">
        <w:t>,</w:t>
      </w:r>
      <w:r>
        <w:t xml:space="preserve"> 3)</w:t>
      </w:r>
      <w:r w:rsidRPr="00DE2706">
        <w:t xml:space="preserve"> scholarships and other financial support </w:t>
      </w:r>
      <w:r w:rsidR="00A94813">
        <w:t>for</w:t>
      </w:r>
      <w:r w:rsidRPr="00DE2706">
        <w:t xml:space="preserve"> transitioning students</w:t>
      </w:r>
      <w:r w:rsidR="00A94813">
        <w:t>,</w:t>
      </w:r>
      <w:r w:rsidRPr="00DE2706">
        <w:t xml:space="preserve"> </w:t>
      </w:r>
      <w:r>
        <w:t xml:space="preserve">4) </w:t>
      </w:r>
      <w:r w:rsidRPr="00DE2706">
        <w:t>increasing engineering student chapters at two-year institutions</w:t>
      </w:r>
      <w:r w:rsidR="00A94813">
        <w:t>,</w:t>
      </w:r>
      <w:r w:rsidRPr="00DE2706">
        <w:t xml:space="preserve"> and </w:t>
      </w:r>
      <w:r>
        <w:t>5) “</w:t>
      </w:r>
      <w:r w:rsidRPr="00DE2706">
        <w:t>two-by-two</w:t>
      </w:r>
      <w:r>
        <w:t>”</w:t>
      </w:r>
      <w:r w:rsidRPr="00DE2706">
        <w:t xml:space="preserve"> programs between two- and four-year colleges.</w:t>
      </w:r>
    </w:p>
    <w:sectPr w:rsidR="001A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2D2"/>
    <w:multiLevelType w:val="hybridMultilevel"/>
    <w:tmpl w:val="DF8243E6"/>
    <w:lvl w:ilvl="0" w:tplc="8C74C772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43973"/>
    <w:multiLevelType w:val="hybridMultilevel"/>
    <w:tmpl w:val="63E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615B"/>
    <w:multiLevelType w:val="hybridMultilevel"/>
    <w:tmpl w:val="3A0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B19"/>
    <w:multiLevelType w:val="hybridMultilevel"/>
    <w:tmpl w:val="6E182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53B51"/>
    <w:multiLevelType w:val="hybridMultilevel"/>
    <w:tmpl w:val="5D68F6F8"/>
    <w:lvl w:ilvl="0" w:tplc="8C74C772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914A9"/>
    <w:multiLevelType w:val="hybridMultilevel"/>
    <w:tmpl w:val="5072753E"/>
    <w:lvl w:ilvl="0" w:tplc="BCEAFEF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856E2"/>
    <w:multiLevelType w:val="hybridMultilevel"/>
    <w:tmpl w:val="BA3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462302">
    <w:abstractNumId w:val="1"/>
  </w:num>
  <w:num w:numId="2" w16cid:durableId="897056803">
    <w:abstractNumId w:val="2"/>
  </w:num>
  <w:num w:numId="3" w16cid:durableId="143858337">
    <w:abstractNumId w:val="6"/>
  </w:num>
  <w:num w:numId="4" w16cid:durableId="871110657">
    <w:abstractNumId w:val="4"/>
  </w:num>
  <w:num w:numId="5" w16cid:durableId="853567651">
    <w:abstractNumId w:val="3"/>
  </w:num>
  <w:num w:numId="6" w16cid:durableId="1660813953">
    <w:abstractNumId w:val="0"/>
  </w:num>
  <w:num w:numId="7" w16cid:durableId="1523520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NDM1MTAxMzG1MDVU0lEKTi0uzszPAykwNKwFADkhcmAtAAAA"/>
    <w:docVar w:name="dgnword-docGUID" w:val="{7F4BC049-A7E7-40FB-B50E-046CE55D4F7D}"/>
    <w:docVar w:name="dgnword-eventsink" w:val="328853384"/>
  </w:docVars>
  <w:rsids>
    <w:rsidRoot w:val="00C94200"/>
    <w:rsid w:val="00025B1E"/>
    <w:rsid w:val="00032FFD"/>
    <w:rsid w:val="00067523"/>
    <w:rsid w:val="00077397"/>
    <w:rsid w:val="000F1936"/>
    <w:rsid w:val="00121315"/>
    <w:rsid w:val="00155D2E"/>
    <w:rsid w:val="001A412A"/>
    <w:rsid w:val="001D74B1"/>
    <w:rsid w:val="00370F52"/>
    <w:rsid w:val="0037764F"/>
    <w:rsid w:val="00403EBF"/>
    <w:rsid w:val="004D6DC4"/>
    <w:rsid w:val="00531B39"/>
    <w:rsid w:val="006121B7"/>
    <w:rsid w:val="0076769B"/>
    <w:rsid w:val="00794AF9"/>
    <w:rsid w:val="00865484"/>
    <w:rsid w:val="00887E11"/>
    <w:rsid w:val="009204CE"/>
    <w:rsid w:val="009755F6"/>
    <w:rsid w:val="00A352D1"/>
    <w:rsid w:val="00A94813"/>
    <w:rsid w:val="00AF6991"/>
    <w:rsid w:val="00B04386"/>
    <w:rsid w:val="00B37BFF"/>
    <w:rsid w:val="00B56DA2"/>
    <w:rsid w:val="00B80EE7"/>
    <w:rsid w:val="00B80FB8"/>
    <w:rsid w:val="00B9211C"/>
    <w:rsid w:val="00BB54E8"/>
    <w:rsid w:val="00BD0FEA"/>
    <w:rsid w:val="00C9351B"/>
    <w:rsid w:val="00C94200"/>
    <w:rsid w:val="00D35773"/>
    <w:rsid w:val="00D81B33"/>
    <w:rsid w:val="00D85374"/>
    <w:rsid w:val="00D9583D"/>
    <w:rsid w:val="00DA7B7E"/>
    <w:rsid w:val="00E149AE"/>
    <w:rsid w:val="00E66EB6"/>
    <w:rsid w:val="00EB1F0D"/>
    <w:rsid w:val="00F22E6B"/>
    <w:rsid w:val="00F65B26"/>
    <w:rsid w:val="00F93FF6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949F"/>
  <w15:docId w15:val="{59FCFC96-0108-4247-BD73-9716429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374"/>
    <w:rPr>
      <w:b/>
      <w:bCs/>
    </w:rPr>
  </w:style>
  <w:style w:type="paragraph" w:styleId="ListParagraph">
    <w:name w:val="List Paragraph"/>
    <w:basedOn w:val="Normal"/>
    <w:uiPriority w:val="34"/>
    <w:qFormat/>
    <w:rsid w:val="0012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Blume</dc:creator>
  <cp:lastModifiedBy>Gabriel Najera</cp:lastModifiedBy>
  <cp:revision>4</cp:revision>
  <cp:lastPrinted>2018-03-02T19:36:00Z</cp:lastPrinted>
  <dcterms:created xsi:type="dcterms:W3CDTF">2022-03-10T23:08:00Z</dcterms:created>
  <dcterms:modified xsi:type="dcterms:W3CDTF">2022-06-01T19:24:00Z</dcterms:modified>
</cp:coreProperties>
</file>